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3F8BE" w14:textId="72C8AB01" w:rsidR="00D20C98" w:rsidRPr="003E4AAC" w:rsidRDefault="00D20C98" w:rsidP="00D20C98">
      <w:pPr>
        <w:pStyle w:val="CRCoverPage"/>
        <w:tabs>
          <w:tab w:val="left" w:pos="1980"/>
        </w:tabs>
        <w:jc w:val="both"/>
        <w:rPr>
          <w:rFonts w:ascii="Times New Roman" w:eastAsia="SimSun" w:hAnsi="Times New Roman"/>
          <w:b/>
          <w:sz w:val="24"/>
          <w:lang w:val="en-US" w:eastAsia="zh-CN"/>
        </w:rPr>
      </w:pPr>
      <w:bookmarkStart w:id="0" w:name="_GoBack"/>
      <w:bookmarkEnd w:id="0"/>
      <w:r w:rsidRPr="003E4AAC">
        <w:rPr>
          <w:rFonts w:ascii="Times New Roman" w:eastAsia="SimSun" w:hAnsi="Times New Roman"/>
          <w:b/>
          <w:sz w:val="24"/>
          <w:lang w:val="en-US" w:eastAsia="zh-CN"/>
        </w:rPr>
        <w:t>3GPP TSG RAN WG1 #96</w:t>
      </w:r>
      <w:r w:rsidRPr="003E4AAC">
        <w:rPr>
          <w:rFonts w:ascii="Times New Roman" w:eastAsia="SimSun" w:hAnsi="Times New Roman"/>
          <w:b/>
          <w:sz w:val="24"/>
          <w:lang w:val="en-US" w:eastAsia="zh-CN"/>
        </w:rPr>
        <w:tab/>
      </w:r>
      <w:r w:rsidRPr="003E4AAC">
        <w:rPr>
          <w:rFonts w:ascii="Times New Roman" w:eastAsia="SimSun" w:hAnsi="Times New Roman"/>
          <w:b/>
          <w:sz w:val="24"/>
          <w:lang w:val="en-US" w:eastAsia="zh-CN"/>
        </w:rPr>
        <w:tab/>
      </w:r>
      <w:r w:rsidRPr="003E4AAC">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t xml:space="preserve">    </w:t>
      </w:r>
      <w:r w:rsidRPr="003E4AAC">
        <w:rPr>
          <w:rFonts w:ascii="Times New Roman" w:eastAsia="SimSun" w:hAnsi="Times New Roman"/>
          <w:b/>
          <w:sz w:val="24"/>
          <w:lang w:val="en-US" w:eastAsia="zh-CN"/>
        </w:rPr>
        <w:t>R1-19</w:t>
      </w:r>
      <w:r w:rsidR="00E808B5">
        <w:rPr>
          <w:rFonts w:ascii="Times New Roman" w:eastAsia="SimSun" w:hAnsi="Times New Roman"/>
          <w:b/>
          <w:sz w:val="24"/>
          <w:lang w:val="en-US" w:eastAsia="zh-CN"/>
        </w:rPr>
        <w:t>02602</w:t>
      </w:r>
    </w:p>
    <w:p w14:paraId="2E9A6FA9" w14:textId="77777777" w:rsidR="00D20C98" w:rsidRPr="0051683A" w:rsidRDefault="00D20C98" w:rsidP="00D20C98">
      <w:pPr>
        <w:pStyle w:val="CRCoverPage"/>
        <w:tabs>
          <w:tab w:val="left" w:pos="1980"/>
        </w:tabs>
        <w:jc w:val="both"/>
        <w:rPr>
          <w:rFonts w:ascii="Times New Roman" w:hAnsi="Times New Roman"/>
          <w:b/>
          <w:bCs/>
          <w:sz w:val="24"/>
          <w:lang w:val="en-US"/>
        </w:rPr>
      </w:pPr>
      <w:r w:rsidRPr="003E4AAC">
        <w:rPr>
          <w:rFonts w:ascii="Times New Roman" w:eastAsia="SimSun" w:hAnsi="Times New Roman"/>
          <w:b/>
          <w:sz w:val="24"/>
          <w:lang w:val="en-US" w:eastAsia="zh-CN"/>
        </w:rPr>
        <w:t xml:space="preserve">Athens, Greece, 25th February – 1st </w:t>
      </w:r>
      <w:proofErr w:type="gramStart"/>
      <w:r w:rsidRPr="003E4AAC">
        <w:rPr>
          <w:rFonts w:ascii="Times New Roman" w:eastAsia="SimSun" w:hAnsi="Times New Roman"/>
          <w:b/>
          <w:sz w:val="24"/>
          <w:lang w:val="en-US" w:eastAsia="zh-CN"/>
        </w:rPr>
        <w:t>March,</w:t>
      </w:r>
      <w:proofErr w:type="gramEnd"/>
      <w:r w:rsidRPr="003E4AAC">
        <w:rPr>
          <w:rFonts w:ascii="Times New Roman" w:eastAsia="SimSun" w:hAnsi="Times New Roman"/>
          <w:b/>
          <w:sz w:val="24"/>
          <w:lang w:val="en-US" w:eastAsia="zh-CN"/>
        </w:rPr>
        <w:t xml:space="preserve"> 2019</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1BADE154"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5D61B2">
        <w:rPr>
          <w:rFonts w:ascii="Times New Roman" w:hAnsi="Times New Roman"/>
          <w:b/>
          <w:bCs/>
          <w:sz w:val="24"/>
          <w:lang w:val="en-US"/>
        </w:rPr>
        <w:t>4.2</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r>
      <w:proofErr w:type="spellStart"/>
      <w:r w:rsidRPr="001C5B0C">
        <w:rPr>
          <w:rFonts w:ascii="Times New Roman" w:hAnsi="Times New Roman" w:cs="Times New Roman"/>
          <w:b/>
          <w:bCs/>
          <w:sz w:val="24"/>
        </w:rPr>
        <w:t>InterDigital</w:t>
      </w:r>
      <w:proofErr w:type="spellEnd"/>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57FAA6D7"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630894">
        <w:rPr>
          <w:rFonts w:ascii="Times New Roman" w:hAnsi="Times New Roman" w:cs="Times New Roman"/>
          <w:b/>
          <w:bCs/>
          <w:sz w:val="24"/>
        </w:rPr>
        <w:t>O</w:t>
      </w:r>
      <w:r w:rsidR="005D61B2" w:rsidRPr="005D61B2">
        <w:rPr>
          <w:rFonts w:ascii="Times New Roman" w:hAnsi="Times New Roman" w:cs="Times New Roman"/>
          <w:b/>
          <w:bCs/>
          <w:sz w:val="24"/>
        </w:rPr>
        <w:t xml:space="preserve">n NR Uu </w:t>
      </w:r>
      <w:r w:rsidR="00E808B5">
        <w:rPr>
          <w:rFonts w:ascii="Times New Roman" w:hAnsi="Times New Roman" w:cs="Times New Roman"/>
          <w:b/>
          <w:bCs/>
          <w:sz w:val="24"/>
        </w:rPr>
        <w:t>e</w:t>
      </w:r>
      <w:r w:rsidR="002B1DBA">
        <w:rPr>
          <w:rFonts w:ascii="Times New Roman" w:hAnsi="Times New Roman" w:cs="Times New Roman"/>
          <w:b/>
          <w:bCs/>
          <w:sz w:val="24"/>
        </w:rPr>
        <w:t xml:space="preserve">nhancement </w:t>
      </w:r>
      <w:r w:rsidR="005D61B2" w:rsidRPr="005D61B2">
        <w:rPr>
          <w:rFonts w:ascii="Times New Roman" w:hAnsi="Times New Roman" w:cs="Times New Roman"/>
          <w:b/>
          <w:bCs/>
          <w:sz w:val="24"/>
        </w:rPr>
        <w:t xml:space="preserve">for </w:t>
      </w:r>
      <w:r w:rsidR="00E808B5">
        <w:rPr>
          <w:rFonts w:ascii="Times New Roman" w:hAnsi="Times New Roman" w:cs="Times New Roman"/>
          <w:b/>
          <w:bCs/>
          <w:sz w:val="24"/>
        </w:rPr>
        <w:t xml:space="preserve">advanced </w:t>
      </w:r>
      <w:r w:rsidR="003F4EB3">
        <w:rPr>
          <w:rFonts w:ascii="Times New Roman" w:hAnsi="Times New Roman" w:cs="Times New Roman"/>
          <w:b/>
          <w:bCs/>
          <w:sz w:val="24"/>
        </w:rPr>
        <w:t xml:space="preserve">V2X </w:t>
      </w:r>
      <w:r w:rsidR="00E808B5">
        <w:rPr>
          <w:rFonts w:ascii="Times New Roman" w:hAnsi="Times New Roman" w:cs="Times New Roman"/>
          <w:b/>
          <w:bCs/>
          <w:sz w:val="24"/>
        </w:rPr>
        <w:t>use c</w:t>
      </w:r>
      <w:r w:rsidR="00E808B5" w:rsidRPr="005D61B2">
        <w:rPr>
          <w:rFonts w:ascii="Times New Roman" w:hAnsi="Times New Roman" w:cs="Times New Roman"/>
          <w:b/>
          <w:bCs/>
          <w:sz w:val="24"/>
        </w:rPr>
        <w:t>ases</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11EA4E7C" w14:textId="2A0EEB84" w:rsidR="0045183A" w:rsidRDefault="0045183A" w:rsidP="000A5764">
      <w:pPr>
        <w:jc w:val="both"/>
        <w:rPr>
          <w:rFonts w:ascii="Times New Roman" w:hAnsi="Times New Roman" w:cs="Times New Roman"/>
        </w:rPr>
      </w:pPr>
      <w:r>
        <w:rPr>
          <w:rFonts w:ascii="Times New Roman" w:hAnsi="Times New Roman" w:cs="Times New Roman"/>
        </w:rPr>
        <w:t>The</w:t>
      </w:r>
      <w:r w:rsidR="005D61B2">
        <w:rPr>
          <w:rFonts w:ascii="Times New Roman" w:hAnsi="Times New Roman" w:cs="Times New Roman"/>
        </w:rPr>
        <w:t xml:space="preserve"> Uu</w:t>
      </w:r>
      <w:r w:rsidR="00630894">
        <w:rPr>
          <w:rFonts w:ascii="Times New Roman" w:hAnsi="Times New Roman" w:cs="Times New Roman"/>
        </w:rPr>
        <w:t xml:space="preserve"> enhancement</w:t>
      </w:r>
      <w:r w:rsidR="005D61B2">
        <w:rPr>
          <w:rFonts w:ascii="Times New Roman" w:hAnsi="Times New Roman" w:cs="Times New Roman"/>
        </w:rPr>
        <w:t xml:space="preserve"> for advanced V2X use cases have been </w:t>
      </w:r>
      <w:r>
        <w:rPr>
          <w:rFonts w:ascii="Times New Roman" w:hAnsi="Times New Roman" w:cs="Times New Roman"/>
        </w:rPr>
        <w:t xml:space="preserve">discussed </w:t>
      </w:r>
      <w:r w:rsidR="00630894">
        <w:rPr>
          <w:rFonts w:ascii="Times New Roman" w:hAnsi="Times New Roman" w:cs="Times New Roman"/>
        </w:rPr>
        <w:t>and following agreements</w:t>
      </w:r>
      <w:r>
        <w:rPr>
          <w:rFonts w:ascii="Times New Roman" w:hAnsi="Times New Roman" w:cs="Times New Roman"/>
        </w:rPr>
        <w:t xml:space="preserve"> ha</w:t>
      </w:r>
      <w:r w:rsidR="0054741D">
        <w:rPr>
          <w:rFonts w:ascii="Times New Roman" w:hAnsi="Times New Roman" w:cs="Times New Roman"/>
        </w:rPr>
        <w:t>ve been made</w:t>
      </w:r>
      <w:r w:rsidR="00630894">
        <w:rPr>
          <w:rFonts w:ascii="Times New Roman" w:hAnsi="Times New Roman" w:cs="Times New Roman"/>
        </w:rPr>
        <w:t xml:space="preserve"> during previous RAN1 meetings</w:t>
      </w:r>
      <w:r w:rsidR="002B305C">
        <w:rPr>
          <w:rFonts w:ascii="Times New Roman" w:hAnsi="Times New Roman" w:cs="Times New Roman"/>
        </w:rPr>
        <w:t xml:space="preserve"> [1]-[4]</w:t>
      </w:r>
      <w:r>
        <w:rPr>
          <w:rFonts w:ascii="Times New Roman" w:hAnsi="Times New Roman" w:cs="Times New Roman"/>
        </w:rPr>
        <w:t>:</w:t>
      </w:r>
    </w:p>
    <w:p w14:paraId="2EBCC5EA" w14:textId="77777777" w:rsidR="005D61B2" w:rsidRPr="005D61B2" w:rsidRDefault="005D61B2" w:rsidP="005D61B2">
      <w:pPr>
        <w:spacing w:after="0"/>
        <w:rPr>
          <w:rFonts w:ascii="Times New Roman" w:hAnsi="Times New Roman" w:cs="Times New Roman"/>
          <w:b/>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b/>
          <w:szCs w:val="20"/>
          <w:lang w:eastAsia="x-none"/>
        </w:rPr>
        <w:t>:</w:t>
      </w:r>
    </w:p>
    <w:p w14:paraId="1B017375" w14:textId="77777777" w:rsidR="005D61B2" w:rsidRPr="005D61B2" w:rsidRDefault="005D61B2" w:rsidP="005D61B2">
      <w:pPr>
        <w:numPr>
          <w:ilvl w:val="0"/>
          <w:numId w:val="32"/>
        </w:numPr>
        <w:spacing w:after="0" w:line="240" w:lineRule="auto"/>
        <w:rPr>
          <w:rFonts w:ascii="Times New Roman" w:hAnsi="Times New Roman" w:cs="Times New Roman"/>
          <w:b/>
          <w:szCs w:val="20"/>
          <w:lang w:eastAsia="x-none"/>
        </w:rPr>
      </w:pPr>
      <w:r w:rsidRPr="005D61B2">
        <w:rPr>
          <w:rFonts w:ascii="Times New Roman" w:hAnsi="Times New Roman" w:cs="Times New Roman"/>
          <w:szCs w:val="20"/>
        </w:rPr>
        <w:t xml:space="preserve">For Uu for advanced V2X use cases, NR supports having multiple active UL configured grants in a given BWP in a given cell. </w:t>
      </w:r>
    </w:p>
    <w:p w14:paraId="21B713FE" w14:textId="77777777" w:rsidR="005D61B2" w:rsidRPr="005D61B2" w:rsidRDefault="005D61B2" w:rsidP="005D61B2">
      <w:pPr>
        <w:numPr>
          <w:ilvl w:val="1"/>
          <w:numId w:val="32"/>
        </w:numPr>
        <w:spacing w:after="0" w:line="240" w:lineRule="auto"/>
        <w:rPr>
          <w:rFonts w:ascii="Times New Roman" w:hAnsi="Times New Roman" w:cs="Times New Roman"/>
          <w:b/>
          <w:szCs w:val="20"/>
          <w:lang w:eastAsia="x-none"/>
        </w:rPr>
      </w:pPr>
      <w:r w:rsidRPr="005D61B2">
        <w:rPr>
          <w:rFonts w:ascii="Times New Roman" w:hAnsi="Times New Roman" w:cs="Times New Roman"/>
          <w:szCs w:val="20"/>
        </w:rPr>
        <w:t>Details FFS</w:t>
      </w:r>
    </w:p>
    <w:p w14:paraId="546E1821" w14:textId="79EB6312" w:rsidR="005D61B2" w:rsidRPr="005D61B2" w:rsidRDefault="005D61B2" w:rsidP="005D61B2">
      <w:pPr>
        <w:numPr>
          <w:ilvl w:val="1"/>
          <w:numId w:val="32"/>
        </w:numPr>
        <w:spacing w:after="0" w:line="240" w:lineRule="auto"/>
        <w:rPr>
          <w:rFonts w:ascii="Times New Roman" w:hAnsi="Times New Roman" w:cs="Times New Roman"/>
          <w:szCs w:val="20"/>
        </w:rPr>
      </w:pPr>
      <w:r w:rsidRPr="005D61B2">
        <w:rPr>
          <w:rFonts w:ascii="Times New Roman" w:hAnsi="Times New Roman" w:cs="Times New Roman"/>
          <w:szCs w:val="20"/>
        </w:rPr>
        <w:t xml:space="preserve">Draft LS to send to RAN2 in </w:t>
      </w:r>
      <w:r w:rsidRPr="005D61B2">
        <w:rPr>
          <w:rFonts w:ascii="Times New Roman" w:hAnsi="Times New Roman" w:cs="Times New Roman"/>
          <w:b/>
          <w:szCs w:val="20"/>
        </w:rPr>
        <w:t>R1-1812002</w:t>
      </w:r>
      <w:r w:rsidRPr="005D61B2">
        <w:rPr>
          <w:rFonts w:ascii="Times New Roman" w:hAnsi="Times New Roman" w:cs="Times New Roman"/>
          <w:szCs w:val="20"/>
        </w:rPr>
        <w:t xml:space="preserve"> (Ricardo), which is </w:t>
      </w:r>
      <w:r w:rsidRPr="005D61B2">
        <w:rPr>
          <w:rFonts w:ascii="Times New Roman" w:hAnsi="Times New Roman" w:cs="Times New Roman"/>
          <w:szCs w:val="20"/>
          <w:highlight w:val="green"/>
        </w:rPr>
        <w:t xml:space="preserve">approved </w:t>
      </w:r>
      <w:r w:rsidRPr="005D61B2">
        <w:rPr>
          <w:rFonts w:ascii="Times New Roman" w:hAnsi="Times New Roman" w:cs="Times New Roman"/>
          <w:szCs w:val="20"/>
        </w:rPr>
        <w:t xml:space="preserve">and final LS in </w:t>
      </w:r>
      <w:r w:rsidRPr="005D61B2">
        <w:rPr>
          <w:rFonts w:ascii="Times New Roman" w:hAnsi="Times New Roman" w:cs="Times New Roman"/>
          <w:szCs w:val="20"/>
          <w:highlight w:val="green"/>
        </w:rPr>
        <w:t>R1-1812058</w:t>
      </w:r>
    </w:p>
    <w:p w14:paraId="1EA08088" w14:textId="77777777" w:rsidR="005D61B2" w:rsidRPr="005D61B2" w:rsidRDefault="005D61B2" w:rsidP="005D61B2">
      <w:pPr>
        <w:spacing w:after="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0E6FB362" w14:textId="77777777" w:rsidR="005D61B2" w:rsidRPr="005D61B2" w:rsidRDefault="005D61B2" w:rsidP="005D61B2">
      <w:pPr>
        <w:numPr>
          <w:ilvl w:val="0"/>
          <w:numId w:val="33"/>
        </w:numPr>
        <w:spacing w:after="0" w:line="240" w:lineRule="auto"/>
        <w:rPr>
          <w:rFonts w:ascii="Times New Roman" w:hAnsi="Times New Roman" w:cs="Times New Roman"/>
          <w:szCs w:val="20"/>
        </w:rPr>
      </w:pPr>
      <w:r w:rsidRPr="005D61B2">
        <w:rPr>
          <w:rFonts w:ascii="Times New Roman" w:hAnsi="Times New Roman" w:cs="Times New Roman"/>
          <w:szCs w:val="20"/>
        </w:rPr>
        <w:t>NR supports that UE reports assistance information to the gNB, consisting of at least (with details FFS):</w:t>
      </w:r>
    </w:p>
    <w:p w14:paraId="6E415F23" w14:textId="77777777" w:rsidR="005D61B2" w:rsidRPr="005D61B2" w:rsidRDefault="005D61B2" w:rsidP="005D61B2">
      <w:pPr>
        <w:numPr>
          <w:ilvl w:val="1"/>
          <w:numId w:val="33"/>
        </w:numPr>
        <w:spacing w:after="0" w:line="240" w:lineRule="auto"/>
        <w:rPr>
          <w:rFonts w:ascii="Times New Roman" w:hAnsi="Times New Roman" w:cs="Times New Roman"/>
          <w:szCs w:val="20"/>
        </w:rPr>
      </w:pPr>
      <w:r w:rsidRPr="005D61B2">
        <w:rPr>
          <w:rFonts w:ascii="Times New Roman" w:hAnsi="Times New Roman" w:cs="Times New Roman"/>
          <w:szCs w:val="20"/>
        </w:rPr>
        <w:t xml:space="preserve">UE-related geographic information (e.g., position). </w:t>
      </w:r>
    </w:p>
    <w:p w14:paraId="725E8261" w14:textId="68D5154F" w:rsidR="005D61B2" w:rsidRPr="005D61B2" w:rsidRDefault="005D61B2" w:rsidP="005D61B2">
      <w:pPr>
        <w:numPr>
          <w:ilvl w:val="1"/>
          <w:numId w:val="33"/>
        </w:numPr>
        <w:spacing w:after="0" w:line="240" w:lineRule="auto"/>
        <w:rPr>
          <w:rFonts w:ascii="Times New Roman" w:hAnsi="Times New Roman" w:cs="Times New Roman"/>
          <w:szCs w:val="20"/>
        </w:rPr>
      </w:pPr>
      <w:r w:rsidRPr="005D61B2">
        <w:rPr>
          <w:rFonts w:ascii="Times New Roman" w:hAnsi="Times New Roman" w:cs="Times New Roman"/>
          <w:szCs w:val="20"/>
        </w:rPr>
        <w:t>Reports of Uu V2X traffic-related information (at least for periodic traffic)</w:t>
      </w:r>
    </w:p>
    <w:p w14:paraId="0092B23C" w14:textId="4414F096"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16CC5D73" w14:textId="77777777" w:rsidR="005D61B2" w:rsidRP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 xml:space="preserve">DCI is used to identify the type-2 UL configured grant to be activated or released. </w:t>
      </w:r>
    </w:p>
    <w:p w14:paraId="3929BA5A" w14:textId="77777777" w:rsidR="005D61B2" w:rsidRPr="005D61B2" w:rsidRDefault="005D61B2" w:rsidP="005D61B2">
      <w:pPr>
        <w:pStyle w:val="ListParagraph"/>
        <w:numPr>
          <w:ilvl w:val="1"/>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FFS Single DCI for multiple type-2 UL configured grants.</w:t>
      </w:r>
    </w:p>
    <w:p w14:paraId="10DEEF2B" w14:textId="77777777"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538A05F5" w14:textId="2E7E29EA" w:rsid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From RAN1 perspective, NR UE reporting on Uu that include at least traffic periodicity, timing offset, and message size is beneficial at least for the purpose of managing multiple UL configured grants</w:t>
      </w:r>
      <w:r w:rsidRPr="005D61B2">
        <w:rPr>
          <w:rFonts w:ascii="Times New Roman" w:hAnsi="Times New Roman" w:cs="Times New Roman"/>
          <w:szCs w:val="20"/>
        </w:rPr>
        <w:t>.</w:t>
      </w:r>
    </w:p>
    <w:p w14:paraId="52FDFC84" w14:textId="77777777"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74CD2553" w14:textId="77777777" w:rsidR="005D61B2" w:rsidRP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NR supports UE reporting over Uu of sidelink traffic-related information</w:t>
      </w:r>
      <w:r w:rsidRPr="005D61B2">
        <w:rPr>
          <w:rFonts w:ascii="Times New Roman" w:hAnsi="Times New Roman" w:cs="Times New Roman"/>
          <w:szCs w:val="20"/>
        </w:rPr>
        <w:t xml:space="preserve">. </w:t>
      </w:r>
    </w:p>
    <w:p w14:paraId="3A3589D4" w14:textId="196DE00D" w:rsidR="00630894" w:rsidRPr="0038540A" w:rsidRDefault="005D61B2" w:rsidP="0038540A">
      <w:pPr>
        <w:pStyle w:val="ListParagraph"/>
        <w:numPr>
          <w:ilvl w:val="1"/>
          <w:numId w:val="31"/>
        </w:numPr>
        <w:spacing w:line="240" w:lineRule="auto"/>
        <w:jc w:val="both"/>
        <w:rPr>
          <w:rFonts w:ascii="Times New Roman" w:hAnsi="Times New Roman" w:cs="Times New Roman"/>
          <w:szCs w:val="20"/>
        </w:rPr>
      </w:pPr>
      <w:r w:rsidRPr="005D61B2">
        <w:rPr>
          <w:rFonts w:ascii="Times New Roman" w:hAnsi="Times New Roman" w:cs="Times New Roman"/>
          <w:szCs w:val="20"/>
        </w:rPr>
        <w:t>FFS contents.</w:t>
      </w:r>
    </w:p>
    <w:p w14:paraId="602A90F2" w14:textId="77777777" w:rsidR="00630894" w:rsidRPr="0038540A" w:rsidRDefault="00630894" w:rsidP="0038540A">
      <w:pPr>
        <w:spacing w:after="0"/>
        <w:rPr>
          <w:rFonts w:ascii="Times New Roman" w:hAnsi="Times New Roman" w:cs="Times New Roman"/>
          <w:szCs w:val="20"/>
          <w:lang w:eastAsia="x-none"/>
        </w:rPr>
      </w:pPr>
      <w:r w:rsidRPr="0038540A">
        <w:rPr>
          <w:rFonts w:ascii="Times New Roman" w:hAnsi="Times New Roman" w:cs="Times New Roman"/>
          <w:b/>
          <w:szCs w:val="20"/>
          <w:u w:val="single"/>
          <w:lang w:eastAsia="x-none"/>
        </w:rPr>
        <w:t>Conclusion</w:t>
      </w:r>
      <w:r w:rsidRPr="0038540A">
        <w:rPr>
          <w:rFonts w:ascii="Times New Roman" w:hAnsi="Times New Roman" w:cs="Times New Roman"/>
          <w:szCs w:val="20"/>
          <w:lang w:eastAsia="x-none"/>
        </w:rPr>
        <w:t>:</w:t>
      </w:r>
    </w:p>
    <w:p w14:paraId="5C078A99" w14:textId="77777777" w:rsidR="00630894" w:rsidRPr="0038540A" w:rsidRDefault="00630894" w:rsidP="00630894">
      <w:pPr>
        <w:pStyle w:val="ListParagraph"/>
        <w:numPr>
          <w:ilvl w:val="0"/>
          <w:numId w:val="34"/>
        </w:numPr>
        <w:spacing w:line="240" w:lineRule="auto"/>
        <w:jc w:val="both"/>
        <w:rPr>
          <w:rFonts w:ascii="Times New Roman" w:hAnsi="Times New Roman" w:cs="Times New Roman"/>
          <w:szCs w:val="20"/>
          <w:lang w:eastAsia="ja-JP"/>
        </w:rPr>
      </w:pPr>
      <w:r w:rsidRPr="0038540A">
        <w:rPr>
          <w:rFonts w:ascii="Times New Roman" w:hAnsi="Times New Roman" w:cs="Times New Roman"/>
          <w:szCs w:val="20"/>
          <w:lang w:eastAsia="ja-JP"/>
        </w:rPr>
        <w:t xml:space="preserve">For type 2 configured grant, discuss </w:t>
      </w:r>
      <w:proofErr w:type="spellStart"/>
      <w:r w:rsidRPr="0038540A">
        <w:rPr>
          <w:rFonts w:ascii="Times New Roman" w:hAnsi="Times New Roman" w:cs="Times New Roman"/>
          <w:szCs w:val="20"/>
          <w:lang w:eastAsia="ja-JP"/>
        </w:rPr>
        <w:t>signalling</w:t>
      </w:r>
      <w:proofErr w:type="spellEnd"/>
      <w:r w:rsidRPr="0038540A">
        <w:rPr>
          <w:rFonts w:ascii="Times New Roman" w:hAnsi="Times New Roman" w:cs="Times New Roman"/>
          <w:szCs w:val="20"/>
          <w:lang w:eastAsia="ja-JP"/>
        </w:rPr>
        <w:t xml:space="preserve"> details and whether single DCI can activate/release multiple configured grants during WI (if included in the WI).</w:t>
      </w:r>
    </w:p>
    <w:p w14:paraId="285D04FF" w14:textId="77777777" w:rsidR="00630894" w:rsidRPr="0038540A" w:rsidRDefault="00630894" w:rsidP="0038540A">
      <w:pPr>
        <w:spacing w:after="0"/>
        <w:rPr>
          <w:rFonts w:ascii="Times New Roman" w:hAnsi="Times New Roman" w:cs="Times New Roman"/>
          <w:szCs w:val="20"/>
          <w:lang w:eastAsia="x-none"/>
        </w:rPr>
      </w:pPr>
      <w:r w:rsidRPr="0038540A">
        <w:rPr>
          <w:rFonts w:ascii="Times New Roman" w:hAnsi="Times New Roman" w:cs="Times New Roman"/>
          <w:szCs w:val="20"/>
          <w:highlight w:val="green"/>
          <w:lang w:eastAsia="x-none"/>
        </w:rPr>
        <w:t>Agreements</w:t>
      </w:r>
      <w:r w:rsidRPr="0038540A">
        <w:rPr>
          <w:rFonts w:ascii="Times New Roman" w:hAnsi="Times New Roman" w:cs="Times New Roman"/>
          <w:szCs w:val="20"/>
          <w:lang w:eastAsia="x-none"/>
        </w:rPr>
        <w:t>:</w:t>
      </w:r>
    </w:p>
    <w:p w14:paraId="13957651" w14:textId="77777777" w:rsidR="00630894" w:rsidRPr="0038540A" w:rsidRDefault="00630894" w:rsidP="00630894">
      <w:pPr>
        <w:pStyle w:val="ListParagraph"/>
        <w:numPr>
          <w:ilvl w:val="0"/>
          <w:numId w:val="35"/>
        </w:numPr>
        <w:spacing w:line="240" w:lineRule="auto"/>
        <w:rPr>
          <w:rFonts w:ascii="Times New Roman" w:hAnsi="Times New Roman" w:cs="Times New Roman"/>
          <w:szCs w:val="20"/>
          <w:lang w:eastAsia="ja-JP"/>
        </w:rPr>
      </w:pPr>
      <w:r w:rsidRPr="0038540A">
        <w:rPr>
          <w:rFonts w:ascii="Times New Roman" w:hAnsi="Times New Roman" w:cs="Times New Roman"/>
          <w:szCs w:val="20"/>
          <w:lang w:eastAsia="ja-JP"/>
        </w:rPr>
        <w:t>A UE is not expected to transmit simultaneously according to more than one UL grant (e.g., dynamic or CG) in a given BWP.</w:t>
      </w:r>
    </w:p>
    <w:p w14:paraId="572C78FE" w14:textId="77777777" w:rsidR="00630894" w:rsidRPr="0038540A" w:rsidRDefault="00630894" w:rsidP="0038540A">
      <w:pPr>
        <w:spacing w:line="240" w:lineRule="auto"/>
        <w:jc w:val="both"/>
        <w:rPr>
          <w:rFonts w:ascii="Times New Roman" w:hAnsi="Times New Roman" w:cs="Times New Roman"/>
          <w:szCs w:val="20"/>
        </w:rPr>
      </w:pPr>
    </w:p>
    <w:p w14:paraId="42A6DE10" w14:textId="1E8F019E"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5D61B2">
        <w:rPr>
          <w:rFonts w:ascii="Times New Roman" w:hAnsi="Times New Roman" w:cs="Times New Roman"/>
        </w:rPr>
        <w:t>NR Uu for advanced V2X use cases.</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265776D6" w14:textId="6AA54711" w:rsidR="0050462D" w:rsidRDefault="003943AB" w:rsidP="0050462D">
      <w:pPr>
        <w:jc w:val="both"/>
        <w:rPr>
          <w:rFonts w:ascii="Times New Roman" w:hAnsi="Times New Roman" w:cs="Times New Roman"/>
          <w:szCs w:val="20"/>
          <w:lang w:eastAsia="ja-JP"/>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_Ref528661945 \r \h </w:instrText>
      </w:r>
      <w:r w:rsidR="0050462D">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CE3A2B">
        <w:rPr>
          <w:rFonts w:ascii="Times New Roman" w:hAnsi="Times New Roman" w:cs="Times New Roman"/>
        </w:rPr>
        <w:t>[2]</w:t>
      </w:r>
      <w:r>
        <w:rPr>
          <w:rFonts w:ascii="Times New Roman" w:hAnsi="Times New Roman" w:cs="Times New Roman"/>
        </w:rPr>
        <w:fldChar w:fldCharType="end"/>
      </w:r>
      <w:r w:rsidR="0050462D">
        <w:rPr>
          <w:rFonts w:ascii="Times New Roman" w:hAnsi="Times New Roman" w:cs="Times New Roman"/>
        </w:rPr>
        <w:t xml:space="preserve">, </w:t>
      </w:r>
      <w:r w:rsidR="0050462D">
        <w:rPr>
          <w:rFonts w:ascii="Times New Roman" w:hAnsi="Times New Roman" w:cs="Times New Roman"/>
        </w:rPr>
        <w:fldChar w:fldCharType="begin"/>
      </w:r>
      <w:r w:rsidR="0050462D">
        <w:rPr>
          <w:rFonts w:ascii="Times New Roman" w:hAnsi="Times New Roman" w:cs="Times New Roman"/>
        </w:rPr>
        <w:instrText xml:space="preserve"> REF _Ref534200868 \r \h  \* MERGEFORMAT </w:instrText>
      </w:r>
      <w:r w:rsidR="0050462D">
        <w:rPr>
          <w:rFonts w:ascii="Times New Roman" w:hAnsi="Times New Roman" w:cs="Times New Roman"/>
        </w:rPr>
      </w:r>
      <w:r w:rsidR="0050462D">
        <w:rPr>
          <w:rFonts w:ascii="Times New Roman" w:hAnsi="Times New Roman" w:cs="Times New Roman"/>
        </w:rPr>
        <w:fldChar w:fldCharType="separate"/>
      </w:r>
      <w:r w:rsidR="00CE3A2B">
        <w:rPr>
          <w:rFonts w:ascii="Times New Roman" w:hAnsi="Times New Roman" w:cs="Times New Roman"/>
        </w:rPr>
        <w:t>[3]</w:t>
      </w:r>
      <w:r w:rsidR="0050462D">
        <w:rPr>
          <w:rFonts w:ascii="Times New Roman" w:hAnsi="Times New Roman" w:cs="Times New Roman"/>
        </w:rPr>
        <w:fldChar w:fldCharType="end"/>
      </w:r>
      <w:r>
        <w:rPr>
          <w:rFonts w:ascii="Times New Roman" w:hAnsi="Times New Roman" w:cs="Times New Roman"/>
        </w:rPr>
        <w:t xml:space="preserve"> that </w:t>
      </w:r>
      <w:r w:rsidRPr="005D61B2">
        <w:rPr>
          <w:rFonts w:ascii="Times New Roman" w:hAnsi="Times New Roman" w:cs="Times New Roman"/>
          <w:szCs w:val="20"/>
        </w:rPr>
        <w:t>UE-related geographi</w:t>
      </w:r>
      <w:r>
        <w:rPr>
          <w:rFonts w:ascii="Times New Roman" w:hAnsi="Times New Roman" w:cs="Times New Roman"/>
          <w:szCs w:val="20"/>
        </w:rPr>
        <w:t>c information and Uu V2X traffic-related information</w:t>
      </w:r>
      <w:r w:rsidR="0050462D">
        <w:rPr>
          <w:rFonts w:ascii="Times New Roman" w:hAnsi="Times New Roman" w:cs="Times New Roman"/>
          <w:szCs w:val="20"/>
        </w:rPr>
        <w:t xml:space="preserve"> should be reported to gNB. The assistance information could </w:t>
      </w:r>
      <w:r w:rsidR="0050462D" w:rsidRPr="005D61B2">
        <w:rPr>
          <w:rFonts w:ascii="Times New Roman" w:hAnsi="Times New Roman" w:cs="Times New Roman"/>
          <w:szCs w:val="20"/>
          <w:lang w:eastAsia="ja-JP"/>
        </w:rPr>
        <w:t>include traffic periodicity, timing offset, and message size</w:t>
      </w:r>
      <w:r w:rsidR="005E5AF3">
        <w:rPr>
          <w:rFonts w:ascii="Times New Roman" w:hAnsi="Times New Roman" w:cs="Times New Roman"/>
          <w:szCs w:val="20"/>
          <w:lang w:eastAsia="ja-JP"/>
        </w:rPr>
        <w:t>, which facilitates</w:t>
      </w:r>
      <w:r w:rsidR="0050462D">
        <w:rPr>
          <w:rFonts w:ascii="Times New Roman" w:hAnsi="Times New Roman" w:cs="Times New Roman"/>
          <w:szCs w:val="20"/>
          <w:lang w:eastAsia="ja-JP"/>
        </w:rPr>
        <w:t xml:space="preserve"> the management of multiple UL configured grants. </w:t>
      </w:r>
    </w:p>
    <w:p w14:paraId="5F046CF7" w14:textId="6B195E55" w:rsidR="003943AB" w:rsidRPr="0050462D" w:rsidRDefault="0050462D" w:rsidP="0050462D">
      <w:pPr>
        <w:jc w:val="both"/>
        <w:rPr>
          <w:rFonts w:ascii="Times New Roman" w:hAnsi="Times New Roman" w:cs="Times New Roman"/>
        </w:rPr>
      </w:pPr>
      <w:r>
        <w:rPr>
          <w:rFonts w:ascii="Times New Roman" w:hAnsi="Times New Roman" w:cs="Times New Roman"/>
          <w:szCs w:val="20"/>
          <w:lang w:eastAsia="ja-JP"/>
        </w:rPr>
        <w:t xml:space="preserve">The NR V2X use cases support the large variations of payload sizes, even for periodic traffic. </w:t>
      </w:r>
      <w:r>
        <w:rPr>
          <w:rFonts w:ascii="Times New Roman" w:hAnsi="Times New Roman" w:cs="Times New Roman"/>
        </w:rPr>
        <w:t xml:space="preserve">For example, in the NR/LTE evaluation methodology for V2X study </w:t>
      </w:r>
      <w:r>
        <w:rPr>
          <w:rFonts w:ascii="Times New Roman" w:hAnsi="Times New Roman" w:cs="Times New Roman"/>
        </w:rPr>
        <w:fldChar w:fldCharType="begin"/>
      </w:r>
      <w:r>
        <w:rPr>
          <w:rFonts w:ascii="Times New Roman" w:hAnsi="Times New Roman" w:cs="Times New Roman"/>
        </w:rPr>
        <w:instrText xml:space="preserve"> REF _Ref534381303 \r \h </w:instrText>
      </w:r>
      <w:r>
        <w:rPr>
          <w:rFonts w:ascii="Times New Roman" w:hAnsi="Times New Roman" w:cs="Times New Roman"/>
        </w:rPr>
      </w:r>
      <w:r>
        <w:rPr>
          <w:rFonts w:ascii="Times New Roman" w:hAnsi="Times New Roman" w:cs="Times New Roman"/>
        </w:rPr>
        <w:fldChar w:fldCharType="separate"/>
      </w:r>
      <w:r w:rsidR="00CE3A2B">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the periodic traffic model 3 has packet size variations </w:t>
      </w:r>
      <w:r>
        <w:rPr>
          <w:rFonts w:ascii="Times New Roman" w:hAnsi="Times New Roman" w:cs="Times New Roman"/>
        </w:rPr>
        <w:lastRenderedPageBreak/>
        <w:t>from 30000 bytes to 60000 bytes. Hence, a</w:t>
      </w:r>
      <w:r w:rsidR="00BA6CE3">
        <w:rPr>
          <w:rFonts w:ascii="Times New Roman" w:hAnsi="Times New Roman" w:cs="Times New Roman"/>
        </w:rPr>
        <w:t xml:space="preserve"> UE may report the range of </w:t>
      </w:r>
      <w:r>
        <w:rPr>
          <w:rFonts w:ascii="Times New Roman" w:hAnsi="Times New Roman" w:cs="Times New Roman"/>
        </w:rPr>
        <w:t xml:space="preserve">message size for its Uu V2X </w:t>
      </w:r>
      <w:r w:rsidR="00BA6CE3">
        <w:rPr>
          <w:rFonts w:ascii="Times New Roman" w:hAnsi="Times New Roman" w:cs="Times New Roman"/>
        </w:rPr>
        <w:t xml:space="preserve">periodic </w:t>
      </w:r>
      <w:r>
        <w:rPr>
          <w:rFonts w:ascii="Times New Roman" w:hAnsi="Times New Roman" w:cs="Times New Roman"/>
        </w:rPr>
        <w:t>traffic</w:t>
      </w:r>
      <w:r w:rsidR="00BE0DC8">
        <w:rPr>
          <w:rFonts w:ascii="Times New Roman" w:hAnsi="Times New Roman" w:cs="Times New Roman"/>
        </w:rPr>
        <w:t>, rather than a single value of message size for</w:t>
      </w:r>
      <w:r w:rsidR="00BA6CE3">
        <w:rPr>
          <w:rFonts w:ascii="Times New Roman" w:hAnsi="Times New Roman" w:cs="Times New Roman"/>
        </w:rPr>
        <w:t xml:space="preserve"> its Uu V2X</w:t>
      </w:r>
      <w:r w:rsidR="00BE0DC8">
        <w:rPr>
          <w:rFonts w:ascii="Times New Roman" w:hAnsi="Times New Roman" w:cs="Times New Roman"/>
        </w:rPr>
        <w:t xml:space="preserve"> periodic traffic</w:t>
      </w:r>
      <w:r w:rsidR="00BA6CE3">
        <w:rPr>
          <w:rFonts w:ascii="Times New Roman" w:hAnsi="Times New Roman" w:cs="Times New Roman"/>
        </w:rPr>
        <w:t>.</w:t>
      </w:r>
      <w:r>
        <w:rPr>
          <w:rFonts w:ascii="Times New Roman" w:hAnsi="Times New Roman" w:cs="Times New Roman"/>
        </w:rPr>
        <w:t xml:space="preserve"> </w:t>
      </w:r>
    </w:p>
    <w:p w14:paraId="47CB1358" w14:textId="58B186FB" w:rsidR="00B74AA1" w:rsidRPr="00B74AA1" w:rsidRDefault="002E05D5" w:rsidP="00B74AA1">
      <w:pPr>
        <w:jc w:val="both"/>
        <w:rPr>
          <w:rFonts w:ascii="Times New Roman" w:hAnsi="Times New Roman" w:cs="Times New Roman"/>
          <w:i/>
        </w:rPr>
      </w:pPr>
      <w:r>
        <w:rPr>
          <w:rFonts w:ascii="Times New Roman" w:hAnsi="Times New Roman" w:cs="Times New Roman"/>
          <w:b/>
          <w:i/>
          <w:u w:val="single"/>
        </w:rPr>
        <w:t xml:space="preserve">Proposal </w:t>
      </w:r>
      <w:r w:rsidR="00CA3AEA">
        <w:rPr>
          <w:rFonts w:ascii="Times New Roman" w:hAnsi="Times New Roman" w:cs="Times New Roman"/>
          <w:b/>
          <w:i/>
          <w:u w:val="single"/>
        </w:rPr>
        <w:t>1</w:t>
      </w:r>
      <w:r w:rsidR="005B11A3" w:rsidRPr="00216540">
        <w:rPr>
          <w:rFonts w:ascii="Times New Roman" w:hAnsi="Times New Roman" w:cs="Times New Roman"/>
          <w:b/>
          <w:i/>
          <w:u w:val="single"/>
        </w:rPr>
        <w:t>:</w:t>
      </w:r>
      <w:r w:rsidR="005B11A3" w:rsidRPr="00225C71">
        <w:rPr>
          <w:rFonts w:ascii="Times New Roman" w:hAnsi="Times New Roman" w:cs="Times New Roman"/>
          <w:i/>
        </w:rPr>
        <w:t xml:space="preserve"> </w:t>
      </w:r>
      <w:r w:rsidR="00EE7885">
        <w:rPr>
          <w:rFonts w:ascii="Times New Roman" w:hAnsi="Times New Roman" w:cs="Times New Roman"/>
          <w:i/>
        </w:rPr>
        <w:t xml:space="preserve">To support NR V2X advanced use cases, </w:t>
      </w:r>
      <w:r w:rsidR="00BE0DC8">
        <w:rPr>
          <w:rFonts w:ascii="Times New Roman" w:hAnsi="Times New Roman" w:cs="Times New Roman"/>
          <w:i/>
        </w:rPr>
        <w:t>UE report</w:t>
      </w:r>
      <w:r w:rsidR="00EE7885">
        <w:rPr>
          <w:rFonts w:ascii="Times New Roman" w:hAnsi="Times New Roman" w:cs="Times New Roman"/>
          <w:i/>
        </w:rPr>
        <w:t>s</w:t>
      </w:r>
      <w:r w:rsidR="00CE3A2B">
        <w:rPr>
          <w:rFonts w:ascii="Times New Roman" w:hAnsi="Times New Roman" w:cs="Times New Roman"/>
          <w:i/>
        </w:rPr>
        <w:t xml:space="preserve"> more details (e.g., the range) of message size of Uu V2X periodic traffic to gNB.</w:t>
      </w:r>
    </w:p>
    <w:p w14:paraId="3D956182" w14:textId="02333BF7" w:rsidR="007651A7" w:rsidRDefault="007651A7" w:rsidP="00C16380">
      <w:pPr>
        <w:tabs>
          <w:tab w:val="center" w:pos="4819"/>
        </w:tabs>
        <w:jc w:val="both"/>
        <w:rPr>
          <w:rFonts w:ascii="Times New Roman" w:hAnsi="Times New Roman" w:cs="Times New Roman"/>
        </w:rPr>
      </w:pPr>
      <w:r>
        <w:rPr>
          <w:rFonts w:ascii="Times New Roman" w:hAnsi="Times New Roman" w:cs="Times New Roman"/>
        </w:rPr>
        <w:t>It has been agreed that multiple DM-RS time density is supported for NR V2X sidelink. In NR Uu, the DM-RS density could be adapted based on UE geometry and Doppler frequency. For example, additional DM-RS can be configured on top of the front</w:t>
      </w:r>
      <w:r w:rsidR="003B5FB4">
        <w:rPr>
          <w:rFonts w:ascii="Times New Roman" w:hAnsi="Times New Roman" w:cs="Times New Roman"/>
        </w:rPr>
        <w:t>-</w:t>
      </w:r>
      <w:r>
        <w:rPr>
          <w:rFonts w:ascii="Times New Roman" w:hAnsi="Times New Roman" w:cs="Times New Roman"/>
        </w:rPr>
        <w:t>loaded DM-RS, thus improving channel estimation performance in low SNR and/or high mobility case. The DM-RS time density can be configured per BWP, therefore gNB can adapt the density dynamically based on the channel condition.</w:t>
      </w:r>
    </w:p>
    <w:p w14:paraId="59CFFA72" w14:textId="2D943FB3" w:rsidR="00BA55FB" w:rsidRDefault="007651A7" w:rsidP="00C16380">
      <w:pPr>
        <w:tabs>
          <w:tab w:val="center" w:pos="4819"/>
        </w:tabs>
        <w:jc w:val="both"/>
        <w:rPr>
          <w:rFonts w:ascii="Times New Roman" w:hAnsi="Times New Roman" w:cs="Times New Roman"/>
        </w:rPr>
      </w:pPr>
      <w:r>
        <w:rPr>
          <w:rFonts w:ascii="Times New Roman" w:hAnsi="Times New Roman" w:cs="Times New Roman"/>
        </w:rPr>
        <w:t xml:space="preserve">Considering that a single SL BWP </w:t>
      </w:r>
      <w:r w:rsidR="00E808B5">
        <w:rPr>
          <w:rFonts w:ascii="Times New Roman" w:hAnsi="Times New Roman" w:cs="Times New Roman"/>
        </w:rPr>
        <w:t>can be</w:t>
      </w:r>
      <w:r>
        <w:rPr>
          <w:rFonts w:ascii="Times New Roman" w:hAnsi="Times New Roman" w:cs="Times New Roman"/>
        </w:rPr>
        <w:t xml:space="preserve"> </w:t>
      </w:r>
      <w:proofErr w:type="gramStart"/>
      <w:r>
        <w:rPr>
          <w:rFonts w:ascii="Times New Roman" w:hAnsi="Times New Roman" w:cs="Times New Roman"/>
        </w:rPr>
        <w:t>configured</w:t>
      </w:r>
      <w:proofErr w:type="gramEnd"/>
      <w:r>
        <w:rPr>
          <w:rFonts w:ascii="Times New Roman" w:hAnsi="Times New Roman" w:cs="Times New Roman"/>
        </w:rPr>
        <w:t xml:space="preserve"> and Doppler frequency may be changed frequently in some of NR V2X scenarios, a faster DM-RS density switching may be needed for better link adaptation. Therefore, reporting the speed information could be beneficial.</w:t>
      </w:r>
      <w:r w:rsidR="003B5FB4">
        <w:rPr>
          <w:rFonts w:ascii="Times New Roman" w:hAnsi="Times New Roman" w:cs="Times New Roman"/>
        </w:rPr>
        <w:t xml:space="preserve"> </w:t>
      </w:r>
      <w:r>
        <w:rPr>
          <w:rFonts w:ascii="Times New Roman" w:hAnsi="Times New Roman" w:cs="Times New Roman"/>
        </w:rPr>
        <w:t xml:space="preserve">In addition, speed and moving direction information </w:t>
      </w:r>
      <w:r w:rsidR="003B5FB4">
        <w:rPr>
          <w:rFonts w:ascii="Times New Roman" w:hAnsi="Times New Roman" w:cs="Times New Roman"/>
        </w:rPr>
        <w:t>could be helpful to gNB to handle potential handover for some of V2X use cases.</w:t>
      </w:r>
      <w:r>
        <w:rPr>
          <w:rFonts w:ascii="Times New Roman" w:hAnsi="Times New Roman" w:cs="Times New Roman"/>
        </w:rPr>
        <w:t xml:space="preserve"> </w:t>
      </w:r>
    </w:p>
    <w:p w14:paraId="6FED3778" w14:textId="2B5C7AD0" w:rsidR="003B5FB4" w:rsidRPr="00B74AA1" w:rsidRDefault="003B5FB4" w:rsidP="003B5FB4">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handle dynamic change of Doppler frequency and</w:t>
      </w:r>
      <w:r w:rsidR="00A248AD">
        <w:rPr>
          <w:rFonts w:ascii="Times New Roman" w:hAnsi="Times New Roman" w:cs="Times New Roman"/>
          <w:i/>
        </w:rPr>
        <w:t xml:space="preserve"> support</w:t>
      </w:r>
      <w:r w:rsidR="007962BB">
        <w:rPr>
          <w:rFonts w:ascii="Times New Roman" w:hAnsi="Times New Roman" w:cs="Times New Roman"/>
          <w:i/>
        </w:rPr>
        <w:t xml:space="preserve"> faster </w:t>
      </w:r>
      <w:r>
        <w:rPr>
          <w:rFonts w:ascii="Times New Roman" w:hAnsi="Times New Roman" w:cs="Times New Roman"/>
          <w:i/>
        </w:rPr>
        <w:t>handover, UE reports speed and moving direction information to gNB.</w:t>
      </w:r>
    </w:p>
    <w:p w14:paraId="0A2B702E" w14:textId="77777777" w:rsidR="000C403D" w:rsidRDefault="007962BB" w:rsidP="00C16380">
      <w:pPr>
        <w:tabs>
          <w:tab w:val="center" w:pos="4819"/>
        </w:tabs>
        <w:jc w:val="both"/>
        <w:rPr>
          <w:rFonts w:ascii="Times New Roman" w:hAnsi="Times New Roman" w:cs="Times New Roman"/>
        </w:rPr>
      </w:pPr>
      <w:r>
        <w:rPr>
          <w:rFonts w:ascii="Times New Roman" w:hAnsi="Times New Roman" w:cs="Times New Roman"/>
        </w:rPr>
        <w:t>LTE Uu supports broadcast and groupcast since it allows more efficient resource utilization. In NR V2X, the broadcast and/or groupcast may be required for some use cases to achieve a higher resource efficiency. The LTE MBMS like broadcasting channel is appropriate for high mobility scenario since multiple cells are jointly transmitting the same signal so that a high mobility UE still can receive signal continuously even with frequent handover. Also, SC-</w:t>
      </w:r>
      <w:proofErr w:type="spellStart"/>
      <w:r>
        <w:rPr>
          <w:rFonts w:ascii="Times New Roman" w:hAnsi="Times New Roman" w:cs="Times New Roman"/>
        </w:rPr>
        <w:t>PtM</w:t>
      </w:r>
      <w:proofErr w:type="spellEnd"/>
      <w:r>
        <w:rPr>
          <w:rFonts w:ascii="Times New Roman" w:hAnsi="Times New Roman" w:cs="Times New Roman"/>
        </w:rPr>
        <w:t xml:space="preserve"> is another good starting point for Uu groupcast transmission if gNB need to send the same data to a group of UEs (e.g., UEs in the same zone).</w:t>
      </w:r>
    </w:p>
    <w:p w14:paraId="2460A436" w14:textId="77777777" w:rsidR="000C403D" w:rsidRDefault="000C403D" w:rsidP="00C16380">
      <w:pPr>
        <w:tabs>
          <w:tab w:val="center" w:pos="4819"/>
        </w:tabs>
        <w:jc w:val="both"/>
        <w:rPr>
          <w:rFonts w:ascii="Times New Roman" w:hAnsi="Times New Roman" w:cs="Times New Roman"/>
        </w:rPr>
      </w:pPr>
      <w:r>
        <w:rPr>
          <w:rFonts w:ascii="Times New Roman" w:hAnsi="Times New Roman" w:cs="Times New Roman"/>
        </w:rPr>
        <w:t>Therefore, broadcast and groupcast should be supported for NR V2X.</w:t>
      </w:r>
    </w:p>
    <w:p w14:paraId="04F8F75D" w14:textId="15E04DAA" w:rsidR="00DA139B" w:rsidRPr="0038540A" w:rsidRDefault="000C403D" w:rsidP="0038540A">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Broadcast and groupcast is supported for NR V2X.</w:t>
      </w: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4BB625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w:t>
      </w:r>
      <w:r w:rsidR="00BE0DC8">
        <w:rPr>
          <w:rFonts w:ascii="Times New Roman" w:hAnsi="Times New Roman" w:cs="Times New Roman"/>
        </w:rPr>
        <w:t xml:space="preserve"> NR</w:t>
      </w:r>
      <w:r w:rsidR="00134259">
        <w:rPr>
          <w:rFonts w:ascii="Times New Roman" w:hAnsi="Times New Roman" w:cs="Times New Roman"/>
        </w:rPr>
        <w:t xml:space="preserve"> Uu</w:t>
      </w:r>
      <w:r w:rsidR="00BE0DC8">
        <w:rPr>
          <w:rFonts w:ascii="Times New Roman" w:hAnsi="Times New Roman" w:cs="Times New Roman"/>
        </w:rPr>
        <w:t xml:space="preserve"> for advanced V2X use cases. </w:t>
      </w:r>
      <w:r w:rsidR="00134259">
        <w:rPr>
          <w:rFonts w:ascii="Times New Roman" w:hAnsi="Times New Roman" w:cs="Times New Roman"/>
        </w:rPr>
        <w:t>Our proposals are as follows:</w:t>
      </w:r>
    </w:p>
    <w:p w14:paraId="7A7D9936" w14:textId="77777777" w:rsidR="00293AE8" w:rsidRPr="00B74AA1" w:rsidRDefault="00293AE8" w:rsidP="00293AE8">
      <w:pPr>
        <w:jc w:val="both"/>
        <w:rPr>
          <w:rFonts w:ascii="Times New Roman" w:hAnsi="Times New Roman" w:cs="Times New Roman"/>
          <w:i/>
        </w:rPr>
      </w:pPr>
      <w:bookmarkStart w:id="2" w:name="_Hlk534384262"/>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V2X advanced use cases, UE reports more details (e.g., the range) of message size of Uu V2X periodic traffic to gNB.</w:t>
      </w:r>
    </w:p>
    <w:bookmarkEnd w:id="2"/>
    <w:p w14:paraId="36A65243" w14:textId="25AE9CA6" w:rsidR="00293AE8" w:rsidRDefault="00293AE8" w:rsidP="00293AE8">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handle dynamic change of Doppler frequency and support faster handover, UE reports speed and moving direction information to gNB.</w:t>
      </w:r>
    </w:p>
    <w:p w14:paraId="36BC4AA5" w14:textId="49C0280F" w:rsidR="00293AE8" w:rsidRPr="00B74AA1" w:rsidRDefault="00293AE8" w:rsidP="00293AE8">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Broadcast and groupcast is supported for NR V2X.</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3F749654" w:rsidR="00A869D9" w:rsidRDefault="002B305C" w:rsidP="00A869D9">
      <w:pPr>
        <w:pStyle w:val="ListParagraph"/>
        <w:numPr>
          <w:ilvl w:val="0"/>
          <w:numId w:val="18"/>
        </w:numPr>
        <w:spacing w:before="120" w:after="160"/>
        <w:contextualSpacing/>
        <w:jc w:val="both"/>
        <w:rPr>
          <w:rFonts w:ascii="Times New Roman" w:hAnsi="Times New Roman" w:cs="Times New Roman"/>
        </w:rPr>
      </w:pPr>
      <w:bookmarkStart w:id="3" w:name="_Ref524941128"/>
      <w:bookmarkStart w:id="4" w:name="_Hlk525111094"/>
      <w:bookmarkStart w:id="5" w:name="_Ref520879486"/>
      <w:r>
        <w:rPr>
          <w:rFonts w:ascii="Times New Roman" w:hAnsi="Times New Roman" w:cs="Times New Roman"/>
        </w:rPr>
        <w:t>RAN1 #94 chairman’s note</w:t>
      </w:r>
      <w:r w:rsidR="00A869D9" w:rsidRPr="00FE4CA9">
        <w:rPr>
          <w:rFonts w:ascii="Times New Roman" w:hAnsi="Times New Roman" w:cs="Times New Roman"/>
        </w:rPr>
        <w:t>.</w:t>
      </w:r>
      <w:bookmarkEnd w:id="3"/>
    </w:p>
    <w:p w14:paraId="6DC7019C" w14:textId="7ACD54B6" w:rsidR="002B305C" w:rsidRDefault="002B305C" w:rsidP="002B305C">
      <w:pPr>
        <w:pStyle w:val="ListParagraph"/>
        <w:numPr>
          <w:ilvl w:val="0"/>
          <w:numId w:val="18"/>
        </w:numPr>
        <w:spacing w:before="120" w:after="160"/>
        <w:contextualSpacing/>
        <w:jc w:val="both"/>
        <w:rPr>
          <w:rFonts w:ascii="Times New Roman" w:hAnsi="Times New Roman" w:cs="Times New Roman"/>
        </w:rPr>
      </w:pPr>
      <w:bookmarkStart w:id="6" w:name="_Ref528661945"/>
      <w:bookmarkStart w:id="7" w:name="_Ref525023556"/>
      <w:r>
        <w:rPr>
          <w:rFonts w:ascii="Times New Roman" w:hAnsi="Times New Roman" w:cs="Times New Roman"/>
        </w:rPr>
        <w:t>RAN1 #94bis chairman’s note</w:t>
      </w:r>
      <w:r w:rsidRPr="00FE4CA9">
        <w:rPr>
          <w:rFonts w:ascii="Times New Roman" w:hAnsi="Times New Roman" w:cs="Times New Roman"/>
        </w:rPr>
        <w:t>.</w:t>
      </w:r>
    </w:p>
    <w:p w14:paraId="231F0567" w14:textId="1EAD5C51" w:rsidR="002B305C" w:rsidRDefault="002B305C" w:rsidP="002B305C">
      <w:pPr>
        <w:pStyle w:val="ListParagraph"/>
        <w:numPr>
          <w:ilvl w:val="0"/>
          <w:numId w:val="18"/>
        </w:numPr>
        <w:spacing w:before="120" w:after="160"/>
        <w:contextualSpacing/>
        <w:jc w:val="both"/>
        <w:rPr>
          <w:rFonts w:ascii="Times New Roman" w:hAnsi="Times New Roman" w:cs="Times New Roman"/>
        </w:rPr>
      </w:pPr>
      <w:bookmarkStart w:id="8" w:name="_Ref534200868"/>
      <w:bookmarkEnd w:id="6"/>
      <w:r>
        <w:rPr>
          <w:rFonts w:ascii="Times New Roman" w:hAnsi="Times New Roman" w:cs="Times New Roman"/>
        </w:rPr>
        <w:t>RAN1 #95 chairman’s note</w:t>
      </w:r>
      <w:r w:rsidRPr="00FE4CA9">
        <w:rPr>
          <w:rFonts w:ascii="Times New Roman" w:hAnsi="Times New Roman" w:cs="Times New Roman"/>
        </w:rPr>
        <w:t>.</w:t>
      </w:r>
    </w:p>
    <w:p w14:paraId="781EF311" w14:textId="05AB1268" w:rsidR="002B305C" w:rsidRDefault="002B305C" w:rsidP="002B305C">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RAN1 AH1901 chairman’s note</w:t>
      </w:r>
      <w:r w:rsidRPr="00FE4CA9">
        <w:rPr>
          <w:rFonts w:ascii="Times New Roman" w:hAnsi="Times New Roman" w:cs="Times New Roman"/>
        </w:rPr>
        <w:t>.</w:t>
      </w:r>
    </w:p>
    <w:p w14:paraId="383FED5E" w14:textId="68C9CA16" w:rsidR="0054741D" w:rsidRPr="00CA3AEA" w:rsidRDefault="0050462D" w:rsidP="002B305C">
      <w:pPr>
        <w:pStyle w:val="ListParagraph"/>
        <w:numPr>
          <w:ilvl w:val="0"/>
          <w:numId w:val="18"/>
        </w:numPr>
        <w:spacing w:before="120" w:after="160"/>
        <w:contextualSpacing/>
        <w:jc w:val="both"/>
        <w:rPr>
          <w:rFonts w:ascii="Times New Roman" w:hAnsi="Times New Roman" w:cs="Times New Roman"/>
        </w:rPr>
      </w:pPr>
      <w:bookmarkStart w:id="9" w:name="_Ref525718679"/>
      <w:bookmarkStart w:id="10" w:name="_Ref534381303"/>
      <w:bookmarkEnd w:id="8"/>
      <w:r w:rsidRPr="002B305C">
        <w:rPr>
          <w:rFonts w:ascii="Times New Roman" w:hAnsi="Times New Roman" w:cs="Times New Roman"/>
        </w:rPr>
        <w:t>3GPP TR 37.885, Study on evaluation methodology of new vehicle-to-everything V2X use cases for LTE and NR, v.15.0.0, June. 2018.</w:t>
      </w:r>
      <w:bookmarkEnd w:id="9"/>
      <w:bookmarkEnd w:id="10"/>
      <w:r w:rsidRPr="002B305C">
        <w:rPr>
          <w:rFonts w:ascii="Times New Roman" w:hAnsi="Times New Roman" w:cs="Times New Roman"/>
        </w:rPr>
        <w:t xml:space="preserve"> </w:t>
      </w:r>
      <w:bookmarkEnd w:id="4"/>
      <w:bookmarkEnd w:id="5"/>
      <w:bookmarkEnd w:id="7"/>
    </w:p>
    <w:sectPr w:rsidR="0054741D" w:rsidRPr="00CA3AE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1E1E5" w14:textId="77777777" w:rsidR="000E7129" w:rsidRDefault="000E7129">
      <w:r>
        <w:separator/>
      </w:r>
    </w:p>
  </w:endnote>
  <w:endnote w:type="continuationSeparator" w:id="0">
    <w:p w14:paraId="5D8853D2" w14:textId="77777777" w:rsidR="000E7129" w:rsidRDefault="000E7129">
      <w:r>
        <w:continuationSeparator/>
      </w:r>
    </w:p>
  </w:endnote>
  <w:endnote w:type="continuationNotice" w:id="1">
    <w:p w14:paraId="10AD7868" w14:textId="77777777" w:rsidR="000E7129" w:rsidRDefault="000E7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15B2" w14:textId="77777777" w:rsidR="000E7129" w:rsidRDefault="000E7129">
      <w:r>
        <w:separator/>
      </w:r>
    </w:p>
  </w:footnote>
  <w:footnote w:type="continuationSeparator" w:id="0">
    <w:p w14:paraId="4B235487" w14:textId="77777777" w:rsidR="000E7129" w:rsidRDefault="000E7129">
      <w:r>
        <w:continuationSeparator/>
      </w:r>
    </w:p>
  </w:footnote>
  <w:footnote w:type="continuationNotice" w:id="1">
    <w:p w14:paraId="1CCF8017" w14:textId="77777777" w:rsidR="000E7129" w:rsidRDefault="000E71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0"/>
  </w:num>
  <w:num w:numId="6">
    <w:abstractNumId w:val="17"/>
  </w:num>
  <w:num w:numId="7">
    <w:abstractNumId w:val="23"/>
  </w:num>
  <w:num w:numId="8">
    <w:abstractNumId w:val="11"/>
  </w:num>
  <w:num w:numId="9">
    <w:abstractNumId w:val="31"/>
  </w:num>
  <w:num w:numId="10">
    <w:abstractNumId w:val="5"/>
  </w:num>
  <w:num w:numId="11">
    <w:abstractNumId w:val="3"/>
  </w:num>
  <w:num w:numId="12">
    <w:abstractNumId w:val="18"/>
  </w:num>
  <w:num w:numId="13">
    <w:abstractNumId w:val="28"/>
  </w:num>
  <w:num w:numId="14">
    <w:abstractNumId w:val="4"/>
  </w:num>
  <w:num w:numId="15">
    <w:abstractNumId w:val="1"/>
  </w:num>
  <w:num w:numId="16">
    <w:abstractNumId w:val="27"/>
  </w:num>
  <w:num w:numId="17">
    <w:abstractNumId w:val="1"/>
  </w:num>
  <w:num w:numId="18">
    <w:abstractNumId w:val="14"/>
  </w:num>
  <w:num w:numId="19">
    <w:abstractNumId w:val="26"/>
  </w:num>
  <w:num w:numId="20">
    <w:abstractNumId w:val="1"/>
  </w:num>
  <w:num w:numId="21">
    <w:abstractNumId w:val="22"/>
  </w:num>
  <w:num w:numId="22">
    <w:abstractNumId w:val="8"/>
  </w:num>
  <w:num w:numId="23">
    <w:abstractNumId w:val="6"/>
  </w:num>
  <w:num w:numId="24">
    <w:abstractNumId w:val="25"/>
  </w:num>
  <w:num w:numId="25">
    <w:abstractNumId w:val="2"/>
  </w:num>
  <w:num w:numId="26">
    <w:abstractNumId w:val="0"/>
  </w:num>
  <w:num w:numId="27">
    <w:abstractNumId w:val="13"/>
  </w:num>
  <w:num w:numId="28">
    <w:abstractNumId w:val="9"/>
  </w:num>
  <w:num w:numId="29">
    <w:abstractNumId w:val="19"/>
  </w:num>
  <w:num w:numId="30">
    <w:abstractNumId w:val="7"/>
  </w:num>
  <w:num w:numId="31">
    <w:abstractNumId w:val="21"/>
  </w:num>
  <w:num w:numId="32">
    <w:abstractNumId w:val="30"/>
  </w:num>
  <w:num w:numId="33">
    <w:abstractNumId w:val="24"/>
  </w:num>
  <w:num w:numId="34">
    <w:abstractNumId w:val="12"/>
  </w:num>
  <w:num w:numId="3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23B"/>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01A"/>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03D"/>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452"/>
    <w:rsid w:val="000E371D"/>
    <w:rsid w:val="000E43AB"/>
    <w:rsid w:val="000E5324"/>
    <w:rsid w:val="000E5BBB"/>
    <w:rsid w:val="000E5EBB"/>
    <w:rsid w:val="000E66EF"/>
    <w:rsid w:val="000E6C65"/>
    <w:rsid w:val="000E6F04"/>
    <w:rsid w:val="000E700D"/>
    <w:rsid w:val="000E7129"/>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AE8"/>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DBA"/>
    <w:rsid w:val="002B24D6"/>
    <w:rsid w:val="002B2C00"/>
    <w:rsid w:val="002B305C"/>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0D60"/>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E57"/>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40A"/>
    <w:rsid w:val="00385770"/>
    <w:rsid w:val="00385932"/>
    <w:rsid w:val="003859C1"/>
    <w:rsid w:val="003859F5"/>
    <w:rsid w:val="00385BF0"/>
    <w:rsid w:val="003861C1"/>
    <w:rsid w:val="00386578"/>
    <w:rsid w:val="00386747"/>
    <w:rsid w:val="003913DB"/>
    <w:rsid w:val="00391638"/>
    <w:rsid w:val="003918D0"/>
    <w:rsid w:val="003927B8"/>
    <w:rsid w:val="00392A23"/>
    <w:rsid w:val="00392D70"/>
    <w:rsid w:val="00393702"/>
    <w:rsid w:val="003939FF"/>
    <w:rsid w:val="00393FE3"/>
    <w:rsid w:val="003943AB"/>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5FB4"/>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0B56"/>
    <w:rsid w:val="003F1D3F"/>
    <w:rsid w:val="003F24A2"/>
    <w:rsid w:val="003F25D5"/>
    <w:rsid w:val="003F2CD4"/>
    <w:rsid w:val="003F370E"/>
    <w:rsid w:val="003F4036"/>
    <w:rsid w:val="003F4A38"/>
    <w:rsid w:val="003F4A65"/>
    <w:rsid w:val="003F4B0D"/>
    <w:rsid w:val="003F4EB3"/>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4DA3"/>
    <w:rsid w:val="004F5116"/>
    <w:rsid w:val="004F53E9"/>
    <w:rsid w:val="004F631B"/>
    <w:rsid w:val="004F6322"/>
    <w:rsid w:val="004F659D"/>
    <w:rsid w:val="004F66A7"/>
    <w:rsid w:val="004F735E"/>
    <w:rsid w:val="00500B52"/>
    <w:rsid w:val="005011FB"/>
    <w:rsid w:val="0050268E"/>
    <w:rsid w:val="0050318E"/>
    <w:rsid w:val="00504512"/>
    <w:rsid w:val="0050462D"/>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769E"/>
    <w:rsid w:val="00517FD4"/>
    <w:rsid w:val="00520C99"/>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1B2"/>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AF3"/>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894"/>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D4E"/>
    <w:rsid w:val="006A0E56"/>
    <w:rsid w:val="006A0ECE"/>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77B"/>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3F5F"/>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250"/>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1A7"/>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62BB"/>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9DE"/>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8AD"/>
    <w:rsid w:val="00A24EAC"/>
    <w:rsid w:val="00A253A7"/>
    <w:rsid w:val="00A25F2C"/>
    <w:rsid w:val="00A264A9"/>
    <w:rsid w:val="00A2663B"/>
    <w:rsid w:val="00A26849"/>
    <w:rsid w:val="00A269B0"/>
    <w:rsid w:val="00A27785"/>
    <w:rsid w:val="00A30187"/>
    <w:rsid w:val="00A30C0E"/>
    <w:rsid w:val="00A319C8"/>
    <w:rsid w:val="00A31B8F"/>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5F8"/>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C96"/>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6CE3"/>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0DC8"/>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9B6"/>
    <w:rsid w:val="00C45739"/>
    <w:rsid w:val="00C45F08"/>
    <w:rsid w:val="00C46B7B"/>
    <w:rsid w:val="00C500B5"/>
    <w:rsid w:val="00C5010D"/>
    <w:rsid w:val="00C5097D"/>
    <w:rsid w:val="00C512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F91"/>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AEA"/>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A2B"/>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749"/>
    <w:rsid w:val="00D16B9D"/>
    <w:rsid w:val="00D20A27"/>
    <w:rsid w:val="00D20C89"/>
    <w:rsid w:val="00D20C98"/>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0D32"/>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6CFB"/>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39B"/>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7E"/>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D82"/>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8B5"/>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BF2"/>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885"/>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93"/>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101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910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101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0E4F9-6783-404B-B012-94597D6BFC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693DAE-ABB8-4AC7-9219-BF1B3EC419EC}">
  <ds:schemaRefs>
    <ds:schemaRef ds:uri="http://schemas.microsoft.com/sharepoint/v3/contenttype/forms"/>
  </ds:schemaRefs>
</ds:datastoreItem>
</file>

<file path=customXml/itemProps3.xml><?xml version="1.0" encoding="utf-8"?>
<ds:datastoreItem xmlns:ds="http://schemas.openxmlformats.org/officeDocument/2006/customXml" ds:itemID="{9AA8765F-585C-414F-B828-34511469B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2019-02-15T06:16:00Z</dcterms:created>
  <dcterms:modified xsi:type="dcterms:W3CDTF">2019-02-15T23:56:00Z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